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260" w:rsidRPr="00680C87" w:rsidRDefault="00E20260" w:rsidP="00A60222">
      <w:pPr>
        <w:spacing w:after="0" w:line="240" w:lineRule="auto"/>
        <w:jc w:val="center"/>
        <w:rPr>
          <w:rFonts w:ascii="Georgia" w:hAnsi="Georgia" w:cs="Arial"/>
          <w:b/>
          <w:bCs/>
          <w:sz w:val="24"/>
          <w:szCs w:val="24"/>
        </w:rPr>
      </w:pPr>
    </w:p>
    <w:p w:rsidR="00882036" w:rsidRDefault="00680C87" w:rsidP="00644F19">
      <w:pPr>
        <w:spacing w:after="0" w:line="240" w:lineRule="auto"/>
        <w:jc w:val="center"/>
        <w:rPr>
          <w:rFonts w:ascii="Georgia" w:hAnsi="Georgia" w:cs="Arial"/>
          <w:b/>
          <w:bCs/>
          <w:sz w:val="24"/>
          <w:szCs w:val="24"/>
        </w:rPr>
      </w:pPr>
      <w:r>
        <w:rPr>
          <w:rFonts w:ascii="Georgia" w:hAnsi="Georgia" w:cs="Arial"/>
          <w:b/>
          <w:bCs/>
          <w:sz w:val="24"/>
          <w:szCs w:val="24"/>
        </w:rPr>
        <w:t xml:space="preserve">Pike Creek </w:t>
      </w:r>
      <w:r w:rsidR="00644F19">
        <w:rPr>
          <w:rFonts w:ascii="Georgia" w:hAnsi="Georgia" w:cs="Arial"/>
          <w:b/>
          <w:bCs/>
          <w:sz w:val="24"/>
          <w:szCs w:val="24"/>
        </w:rPr>
        <w:t>setzt mit neuem Design</w:t>
      </w:r>
      <w:r w:rsidR="00882036">
        <w:rPr>
          <w:rFonts w:ascii="Georgia" w:hAnsi="Georgia" w:cs="Arial"/>
          <w:b/>
          <w:bCs/>
          <w:sz w:val="24"/>
          <w:szCs w:val="24"/>
        </w:rPr>
        <w:t xml:space="preserve"> </w:t>
      </w:r>
      <w:r w:rsidR="004D39F3">
        <w:rPr>
          <w:rFonts w:ascii="Georgia" w:hAnsi="Georgia" w:cs="Arial"/>
          <w:b/>
          <w:bCs/>
          <w:sz w:val="24"/>
          <w:szCs w:val="24"/>
        </w:rPr>
        <w:t>den</w:t>
      </w:r>
    </w:p>
    <w:p w:rsidR="001514F0" w:rsidRDefault="007B57AB" w:rsidP="00644F19">
      <w:pPr>
        <w:spacing w:after="0" w:line="240" w:lineRule="auto"/>
        <w:jc w:val="center"/>
        <w:rPr>
          <w:rFonts w:ascii="Georgia" w:hAnsi="Georgia" w:cs="Arial"/>
          <w:b/>
          <w:bCs/>
          <w:sz w:val="24"/>
          <w:szCs w:val="24"/>
        </w:rPr>
      </w:pPr>
      <w:r>
        <w:rPr>
          <w:rFonts w:ascii="Georgia" w:hAnsi="Georgia" w:cs="Arial"/>
          <w:b/>
          <w:bCs/>
          <w:sz w:val="24"/>
          <w:szCs w:val="24"/>
        </w:rPr>
        <w:t>Fokus auf Finish in Rumfässern</w:t>
      </w:r>
    </w:p>
    <w:p w:rsidR="00680C87" w:rsidRPr="00680C87" w:rsidRDefault="00680C87" w:rsidP="00A60222">
      <w:pPr>
        <w:spacing w:after="0" w:line="240" w:lineRule="auto"/>
        <w:jc w:val="center"/>
        <w:rPr>
          <w:rFonts w:ascii="Georgia" w:hAnsi="Georgia" w:cs="Arial"/>
          <w:b/>
          <w:bCs/>
          <w:sz w:val="24"/>
          <w:szCs w:val="24"/>
        </w:rPr>
      </w:pPr>
    </w:p>
    <w:p w:rsidR="00957933" w:rsidRDefault="003F37C6" w:rsidP="00644F19">
      <w:pPr>
        <w:tabs>
          <w:tab w:val="left" w:pos="1985"/>
        </w:tabs>
        <w:spacing w:after="120" w:line="360" w:lineRule="auto"/>
        <w:jc w:val="both"/>
        <w:rPr>
          <w:rFonts w:ascii="Georgia" w:hAnsi="Georgia" w:cs="Arial"/>
          <w:bCs/>
          <w:sz w:val="20"/>
          <w:szCs w:val="20"/>
        </w:rPr>
      </w:pPr>
      <w:r>
        <w:rPr>
          <w:rFonts w:ascii="Georgia" w:hAnsi="Georgia" w:cs="Arial"/>
          <w:b/>
          <w:bCs/>
          <w:sz w:val="20"/>
          <w:szCs w:val="20"/>
        </w:rPr>
        <w:t xml:space="preserve">Hamburg, </w:t>
      </w:r>
      <w:r w:rsidR="00680C87">
        <w:rPr>
          <w:rFonts w:ascii="Georgia" w:hAnsi="Georgia" w:cs="Arial"/>
          <w:b/>
          <w:bCs/>
          <w:sz w:val="20"/>
          <w:szCs w:val="20"/>
        </w:rPr>
        <w:t>Dezember</w:t>
      </w:r>
      <w:r w:rsidR="00D77C1E" w:rsidRPr="00680C87">
        <w:rPr>
          <w:rFonts w:ascii="Georgia" w:hAnsi="Georgia" w:cs="Arial"/>
          <w:b/>
          <w:bCs/>
          <w:sz w:val="20"/>
          <w:szCs w:val="20"/>
        </w:rPr>
        <w:t xml:space="preserve"> </w:t>
      </w:r>
      <w:r w:rsidR="00500B61" w:rsidRPr="00680C87">
        <w:rPr>
          <w:rFonts w:ascii="Georgia" w:hAnsi="Georgia" w:cs="Arial"/>
          <w:b/>
          <w:bCs/>
          <w:sz w:val="20"/>
          <w:szCs w:val="20"/>
        </w:rPr>
        <w:t>201</w:t>
      </w:r>
      <w:r w:rsidR="00D77C1E" w:rsidRPr="00680C87">
        <w:rPr>
          <w:rFonts w:ascii="Georgia" w:hAnsi="Georgia" w:cs="Arial"/>
          <w:b/>
          <w:bCs/>
          <w:sz w:val="20"/>
          <w:szCs w:val="20"/>
        </w:rPr>
        <w:t xml:space="preserve">9. </w:t>
      </w:r>
      <w:r w:rsidR="002B54C3">
        <w:rPr>
          <w:rFonts w:ascii="Georgia" w:hAnsi="Georgia" w:cs="Arial"/>
          <w:bCs/>
          <w:sz w:val="20"/>
          <w:szCs w:val="20"/>
        </w:rPr>
        <w:t>Der kanadische Whisky Pike Creek startet in das kommende Jahr mit einem neuen Design, das auf reduzierte Designelemente setzt und den Premium-Charakter stärkt. Bisher zierte ein auffälliges Seil den Flaschenhals und stellte so die Naturverbundenheit des Whis</w:t>
      </w:r>
      <w:r w:rsidR="00F30FEF">
        <w:rPr>
          <w:rFonts w:ascii="Georgia" w:hAnsi="Georgia" w:cs="Arial"/>
          <w:bCs/>
          <w:sz w:val="20"/>
          <w:szCs w:val="20"/>
        </w:rPr>
        <w:t>kys in den Vordergrund. Künftig wird auf das Seil verzichtet, das von einem Etikett am Flaschenhals abgelöst wird, welches den Fokus auf die Reifung in Rumfässern lenken soll. Zusätzlich</w:t>
      </w:r>
      <w:r w:rsidR="00644F19">
        <w:rPr>
          <w:rFonts w:ascii="Georgia" w:hAnsi="Georgia" w:cs="Arial"/>
          <w:bCs/>
          <w:sz w:val="20"/>
          <w:szCs w:val="20"/>
        </w:rPr>
        <w:t xml:space="preserve"> wurden weitere Anpassungen am </w:t>
      </w:r>
      <w:r w:rsidR="00F30FEF">
        <w:rPr>
          <w:rFonts w:ascii="Georgia" w:hAnsi="Georgia" w:cs="Arial"/>
          <w:bCs/>
          <w:sz w:val="20"/>
          <w:szCs w:val="20"/>
        </w:rPr>
        <w:t>Design des Flaschenhalses vorgenommen. Die schwarze Ummantelung weicht nun einer transparenten Optik, die den Korken sichtbar macht und somit der Ausstattung einen Premium-Look verleiht. Dass die Reifung 10 Jahre in Rumfässern erfolgt, wird durch das münzförmige Etikett, welches harmonisch in das Frontetikett eingearbeitet wurde und die Zahl Zehn in</w:t>
      </w:r>
      <w:r w:rsidR="00957933">
        <w:rPr>
          <w:rFonts w:ascii="Georgia" w:hAnsi="Georgia" w:cs="Arial"/>
          <w:bCs/>
          <w:sz w:val="20"/>
          <w:szCs w:val="20"/>
        </w:rPr>
        <w:t xml:space="preserve"> den Mittelpunkt stellt</w:t>
      </w:r>
      <w:r w:rsidR="00F30FEF">
        <w:rPr>
          <w:rFonts w:ascii="Georgia" w:hAnsi="Georgia" w:cs="Arial"/>
          <w:bCs/>
          <w:sz w:val="20"/>
          <w:szCs w:val="20"/>
        </w:rPr>
        <w:t>, stärker hervorgehoben.</w:t>
      </w:r>
      <w:r w:rsidR="00957933">
        <w:rPr>
          <w:rFonts w:ascii="Georgia" w:hAnsi="Georgia" w:cs="Arial"/>
          <w:bCs/>
          <w:sz w:val="20"/>
          <w:szCs w:val="20"/>
        </w:rPr>
        <w:t xml:space="preserve"> Die stärkste Überarbeitung erfolgte am Frontetikett, das heller gestaltet wurde und den Whisky dur</w:t>
      </w:r>
      <w:r w:rsidR="001514F0">
        <w:rPr>
          <w:rFonts w:ascii="Georgia" w:hAnsi="Georgia" w:cs="Arial"/>
          <w:bCs/>
          <w:sz w:val="20"/>
          <w:szCs w:val="20"/>
        </w:rPr>
        <w:t>ch einen reduzierten Look zugänglicher für Konsumenten macht. Die Anordnung der Schrift wirkt geordneter und das Augenmerk wird auch h</w:t>
      </w:r>
      <w:r w:rsidR="00644F19">
        <w:rPr>
          <w:rFonts w:ascii="Georgia" w:hAnsi="Georgia" w:cs="Arial"/>
          <w:bCs/>
          <w:sz w:val="20"/>
          <w:szCs w:val="20"/>
        </w:rPr>
        <w:t xml:space="preserve">ier auf den Markennamen und das Finish </w:t>
      </w:r>
      <w:r w:rsidR="001514F0">
        <w:rPr>
          <w:rFonts w:ascii="Georgia" w:hAnsi="Georgia" w:cs="Arial"/>
          <w:bCs/>
          <w:sz w:val="20"/>
          <w:szCs w:val="20"/>
        </w:rPr>
        <w:t>in Rumfässern gelenkt.</w:t>
      </w:r>
    </w:p>
    <w:p w:rsidR="003F37C6" w:rsidRPr="00644F19" w:rsidRDefault="00644F19" w:rsidP="00D77C1E">
      <w:pPr>
        <w:tabs>
          <w:tab w:val="left" w:pos="1985"/>
        </w:tabs>
        <w:spacing w:after="120"/>
        <w:jc w:val="both"/>
        <w:rPr>
          <w:rFonts w:ascii="Georgia" w:hAnsi="Georgia" w:cs="Arial"/>
          <w:b/>
          <w:bCs/>
          <w:sz w:val="20"/>
          <w:szCs w:val="20"/>
        </w:rPr>
      </w:pPr>
      <w:r w:rsidRPr="00644F19">
        <w:rPr>
          <w:rFonts w:ascii="Georgia" w:hAnsi="Georgia" w:cs="Arial"/>
          <w:b/>
          <w:bCs/>
          <w:sz w:val="20"/>
          <w:szCs w:val="20"/>
        </w:rPr>
        <w:t>Über Pike Creek</w:t>
      </w:r>
    </w:p>
    <w:p w:rsidR="00770541" w:rsidRPr="00770541" w:rsidRDefault="003F37C6" w:rsidP="00644F19">
      <w:pPr>
        <w:pStyle w:val="a-spacing-base"/>
        <w:spacing w:line="360" w:lineRule="auto"/>
        <w:jc w:val="both"/>
        <w:rPr>
          <w:rFonts w:ascii="Georgia" w:hAnsi="Georgia" w:cs="Arial"/>
          <w:bCs/>
          <w:sz w:val="20"/>
          <w:szCs w:val="20"/>
        </w:rPr>
      </w:pPr>
      <w:r w:rsidRPr="003F37C6">
        <w:rPr>
          <w:rFonts w:ascii="Georgia" w:hAnsi="Georgia" w:cs="Arial"/>
          <w:bCs/>
          <w:sz w:val="20"/>
          <w:szCs w:val="20"/>
        </w:rPr>
        <w:t xml:space="preserve">Kanadische Experimentierfreude in Perfektion! </w:t>
      </w:r>
      <w:r w:rsidR="00644F19" w:rsidRPr="00644F19">
        <w:rPr>
          <w:rFonts w:ascii="Georgia" w:hAnsi="Georgia" w:cs="Arial"/>
          <w:bCs/>
          <w:sz w:val="20"/>
          <w:szCs w:val="20"/>
        </w:rPr>
        <w:t>Di</w:t>
      </w:r>
      <w:r w:rsidR="00644F19">
        <w:t xml:space="preserve">eser </w:t>
      </w:r>
      <w:r w:rsidR="00644F19" w:rsidRPr="00644F19">
        <w:rPr>
          <w:rFonts w:ascii="Georgia" w:eastAsia="Calibri" w:hAnsi="Georgia" w:cs="Arial"/>
          <w:bCs/>
          <w:sz w:val="20"/>
          <w:szCs w:val="20"/>
          <w:lang w:eastAsia="en-US"/>
        </w:rPr>
        <w:t>außergewöhnliche Whisky besteht aus 100 Prozent Mais und vermittelt damit einen prägnanten Bourbon-Charakter.</w:t>
      </w:r>
      <w:r w:rsidR="00644F19">
        <w:t xml:space="preserve"> </w:t>
      </w:r>
      <w:r w:rsidRPr="003F37C6">
        <w:rPr>
          <w:rFonts w:ascii="Georgia" w:hAnsi="Georgia" w:cs="Arial"/>
          <w:bCs/>
          <w:sz w:val="20"/>
          <w:szCs w:val="20"/>
        </w:rPr>
        <w:t>Gereift in einem unklimatisiertem Warehouse in der Nähe des kleinen Flusses Pike Creek, gelangt dieser Blend zur Vollendung durch die Lagerung in Rumfässern. Die extrem schwankenden Temperaturen zwischen Winter und Sommer über 10 Jahre machen ihn einzigartig, da der Whisky je nach Jahreszeit mehr oder weniger mit dem Fass interagieren kann. Das oft verwendete Wort "Craft“ wird hier auf kanadische Art und Weise neu interpretiert. Seine Komplexität, Milde und nicht zuletzt seine fruchtige Nase machen ihn sowohl für den Connaisseur, als auch für den Einsteiger in die Whisky-Welt äußerst interessant.</w:t>
      </w:r>
    </w:p>
    <w:p w:rsidR="00DA63D0" w:rsidRPr="00644F19" w:rsidRDefault="00DA63D0" w:rsidP="00E20260">
      <w:pPr>
        <w:spacing w:after="120"/>
        <w:jc w:val="both"/>
        <w:rPr>
          <w:rFonts w:ascii="Georgia" w:eastAsia="Times New Roman" w:hAnsi="Georgia" w:cs="Arial"/>
          <w:b/>
          <w:bCs/>
          <w:sz w:val="20"/>
          <w:szCs w:val="20"/>
          <w:lang w:eastAsia="de-DE"/>
        </w:rPr>
      </w:pPr>
      <w:r w:rsidRPr="00644F19">
        <w:rPr>
          <w:rFonts w:ascii="Georgia" w:eastAsia="Times New Roman" w:hAnsi="Georgia" w:cs="Arial"/>
          <w:b/>
          <w:bCs/>
          <w:sz w:val="20"/>
          <w:szCs w:val="20"/>
          <w:lang w:eastAsia="de-DE"/>
        </w:rPr>
        <w:t xml:space="preserve">BORCO-MARKEN-IMPORT, Hamburg </w:t>
      </w:r>
    </w:p>
    <w:p w:rsidR="00234125" w:rsidRPr="00234125" w:rsidRDefault="00644F19" w:rsidP="00644F19">
      <w:pPr>
        <w:spacing w:after="0" w:line="240" w:lineRule="auto"/>
        <w:jc w:val="both"/>
        <w:rPr>
          <w:rFonts w:ascii="Georgia" w:eastAsia="Times New Roman" w:hAnsi="Georgia" w:cs="Arial"/>
          <w:bCs/>
          <w:sz w:val="20"/>
          <w:szCs w:val="20"/>
          <w:lang w:eastAsia="de-DE"/>
        </w:rPr>
      </w:pPr>
      <w:r>
        <w:rPr>
          <w:rFonts w:ascii="Georgia" w:eastAsia="Times New Roman" w:hAnsi="Georgia" w:cs="Arial"/>
          <w:bCs/>
          <w:sz w:val="20"/>
          <w:szCs w:val="20"/>
          <w:lang w:eastAsia="de-DE"/>
        </w:rPr>
        <w:t>Pike Creek</w:t>
      </w:r>
      <w:r w:rsidRPr="00644F19">
        <w:rPr>
          <w:rFonts w:ascii="Georgia" w:eastAsia="Times New Roman" w:hAnsi="Georgia" w:cs="Arial"/>
          <w:bCs/>
          <w:sz w:val="20"/>
          <w:szCs w:val="20"/>
          <w:lang w:eastAsia="de-DE"/>
        </w:rPr>
        <w:t xml:space="preserve"> wird in Deutschland und Österreich exklusiv von BORCO-MARKEN-IMPORT distribuiert. BORCO, mit Sitz in Hamburg, ist einer der größten deutschen und europäischen Produzenten und Vermarkter internationaler Top Spirituosen Marken. </w:t>
      </w:r>
      <w:r w:rsidR="00234125" w:rsidRPr="00234125">
        <w:rPr>
          <w:rFonts w:ascii="Georgia" w:eastAsia="Times New Roman" w:hAnsi="Georgia" w:cs="Arial"/>
          <w:bCs/>
          <w:sz w:val="20"/>
          <w:szCs w:val="20"/>
          <w:lang w:eastAsia="de-DE"/>
        </w:rPr>
        <w:t>In Österreich erfolgt die Distribution über das von BORCO und KATTUS gegründete Vertriebs Joint Venture, die KATTUS-BORCO Vertriebs GmbH</w:t>
      </w:r>
      <w:r w:rsidR="00234125">
        <w:rPr>
          <w:rFonts w:ascii="Georgia" w:eastAsia="Times New Roman" w:hAnsi="Georgia" w:cs="Arial"/>
          <w:bCs/>
          <w:sz w:val="20"/>
          <w:szCs w:val="20"/>
          <w:lang w:eastAsia="de-DE"/>
        </w:rPr>
        <w:t>.</w:t>
      </w:r>
    </w:p>
    <w:p w:rsidR="00644F19" w:rsidRPr="00644F19" w:rsidRDefault="00644F19" w:rsidP="00644F19">
      <w:pPr>
        <w:spacing w:after="0" w:line="240" w:lineRule="auto"/>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 xml:space="preserve">Das Portfolio des unabhängigen Familienunternehmens, darunter u. a. SIERRA Tequila, YENI Raki, RUSSIAN STANDARD Vodka, DISARONNO, Champagne LANSON und die Whiskys aus dem Hause WHYTE &amp; MACKAY deckt fast alle wichtigen internationalen Segmente ab und ist in seiner Stärke und Geschlossenheit sicher einmalig. </w:t>
      </w:r>
    </w:p>
    <w:p w:rsidR="00644F19" w:rsidRPr="00644F19" w:rsidRDefault="00644F19" w:rsidP="00DA6258">
      <w:pPr>
        <w:spacing w:after="0"/>
        <w:jc w:val="both"/>
        <w:rPr>
          <w:rFonts w:ascii="Georgia" w:eastAsia="Times New Roman" w:hAnsi="Georgia" w:cs="Arial"/>
          <w:bCs/>
          <w:sz w:val="20"/>
          <w:szCs w:val="20"/>
          <w:lang w:eastAsia="de-DE"/>
        </w:rPr>
      </w:pPr>
    </w:p>
    <w:p w:rsidR="00DA6258" w:rsidRPr="00644F19" w:rsidRDefault="00DA6258" w:rsidP="00DA6258">
      <w:pPr>
        <w:spacing w:after="0"/>
        <w:jc w:val="both"/>
        <w:rPr>
          <w:rFonts w:ascii="Georgia" w:eastAsia="Times New Roman" w:hAnsi="Georgia" w:cs="Arial"/>
          <w:b/>
          <w:bCs/>
          <w:sz w:val="20"/>
          <w:szCs w:val="20"/>
          <w:lang w:eastAsia="de-DE"/>
        </w:rPr>
      </w:pPr>
      <w:r w:rsidRPr="00644F19">
        <w:rPr>
          <w:rFonts w:ascii="Georgia" w:eastAsia="Times New Roman" w:hAnsi="Georgia" w:cs="Arial"/>
          <w:b/>
          <w:bCs/>
          <w:sz w:val="20"/>
          <w:szCs w:val="20"/>
          <w:lang w:eastAsia="de-DE"/>
        </w:rPr>
        <w:t>Für weitere Informationen wenden Sie sich gern an:</w:t>
      </w:r>
    </w:p>
    <w:p w:rsidR="008D2CC4" w:rsidRPr="00644F19" w:rsidRDefault="008D2CC4" w:rsidP="00DA6258">
      <w:pPr>
        <w:spacing w:after="0"/>
        <w:jc w:val="both"/>
        <w:rPr>
          <w:rFonts w:ascii="Georgia" w:eastAsia="Times New Roman" w:hAnsi="Georgia" w:cs="Arial"/>
          <w:bCs/>
          <w:sz w:val="20"/>
          <w:szCs w:val="20"/>
          <w:lang w:eastAsia="de-DE"/>
        </w:rPr>
      </w:pPr>
    </w:p>
    <w:p w:rsidR="00DA6258" w:rsidRPr="00644F19" w:rsidRDefault="00DA6258" w:rsidP="00DA6258">
      <w:pPr>
        <w:spacing w:after="0"/>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BORCO-MARKEN-IMPORT Matthiesen GmbH &amp; Co.KG</w:t>
      </w:r>
    </w:p>
    <w:p w:rsidR="00DA6258" w:rsidRPr="00644F19" w:rsidRDefault="00DA6258" w:rsidP="00DA6258">
      <w:pPr>
        <w:spacing w:after="0"/>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Winsbergring 12 – 22, 22525 Hamburg</w:t>
      </w:r>
    </w:p>
    <w:p w:rsidR="00DA6258" w:rsidRPr="00644F19" w:rsidRDefault="00DA6258" w:rsidP="00DA6258">
      <w:pPr>
        <w:spacing w:after="0"/>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Telefon: (040) 85 31 6-0</w:t>
      </w:r>
    </w:p>
    <w:p w:rsidR="00DA6258" w:rsidRPr="00644F19" w:rsidRDefault="0097796E" w:rsidP="00DA6258">
      <w:pPr>
        <w:spacing w:after="0"/>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Telefax:</w:t>
      </w:r>
      <w:r w:rsidR="00DA6258" w:rsidRPr="00644F19">
        <w:rPr>
          <w:rFonts w:ascii="Georgia" w:eastAsia="Times New Roman" w:hAnsi="Georgia" w:cs="Arial"/>
          <w:bCs/>
          <w:sz w:val="20"/>
          <w:szCs w:val="20"/>
          <w:lang w:eastAsia="de-DE"/>
        </w:rPr>
        <w:t xml:space="preserve"> (040) 85 85 00</w:t>
      </w:r>
    </w:p>
    <w:p w:rsidR="00DA6258" w:rsidRPr="00644F19" w:rsidRDefault="00DA6258" w:rsidP="00DA6258">
      <w:pPr>
        <w:spacing w:after="0"/>
        <w:jc w:val="both"/>
        <w:rPr>
          <w:rFonts w:ascii="Georgia" w:eastAsia="Times New Roman" w:hAnsi="Georgia" w:cs="Arial"/>
          <w:bCs/>
          <w:sz w:val="20"/>
          <w:szCs w:val="20"/>
          <w:lang w:eastAsia="de-DE"/>
        </w:rPr>
      </w:pPr>
      <w:r w:rsidRPr="00644F19">
        <w:rPr>
          <w:rFonts w:ascii="Georgia" w:eastAsia="Times New Roman" w:hAnsi="Georgia" w:cs="Arial"/>
          <w:bCs/>
          <w:sz w:val="20"/>
          <w:szCs w:val="20"/>
          <w:lang w:eastAsia="de-DE"/>
        </w:rPr>
        <w:t>E-Mail: infoline@borco.com,</w:t>
      </w:r>
    </w:p>
    <w:p w:rsidR="004A6E73" w:rsidRPr="00644F19" w:rsidRDefault="008A0E52" w:rsidP="00944A35">
      <w:pPr>
        <w:spacing w:after="0"/>
        <w:jc w:val="both"/>
        <w:rPr>
          <w:rFonts w:ascii="Georgia" w:eastAsia="Times New Roman" w:hAnsi="Georgia" w:cs="Arial"/>
          <w:bCs/>
          <w:sz w:val="20"/>
          <w:szCs w:val="20"/>
          <w:lang w:eastAsia="de-DE"/>
        </w:rPr>
      </w:pPr>
      <w:hyperlink r:id="rId7" w:history="1">
        <w:r w:rsidR="0075370E" w:rsidRPr="00644F19">
          <w:rPr>
            <w:rFonts w:ascii="Georgia" w:eastAsia="Times New Roman" w:hAnsi="Georgia" w:cs="Arial"/>
            <w:bCs/>
            <w:sz w:val="20"/>
            <w:szCs w:val="20"/>
            <w:lang w:eastAsia="de-DE"/>
          </w:rPr>
          <w:t>www.borco.com</w:t>
        </w:r>
      </w:hyperlink>
    </w:p>
    <w:sectPr w:rsidR="004A6E73" w:rsidRPr="00644F19" w:rsidSect="004A6E73">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08C" w:rsidRDefault="002D508C" w:rsidP="00941066">
      <w:pPr>
        <w:spacing w:after="0" w:line="240" w:lineRule="auto"/>
      </w:pPr>
      <w:r>
        <w:separator/>
      </w:r>
    </w:p>
  </w:endnote>
  <w:endnote w:type="continuationSeparator" w:id="0">
    <w:p w:rsidR="002D508C" w:rsidRDefault="002D508C" w:rsidP="0094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08C" w:rsidRDefault="002D508C" w:rsidP="00941066">
      <w:pPr>
        <w:spacing w:after="0" w:line="240" w:lineRule="auto"/>
      </w:pPr>
      <w:r>
        <w:separator/>
      </w:r>
    </w:p>
  </w:footnote>
  <w:footnote w:type="continuationSeparator" w:id="0">
    <w:p w:rsidR="002D508C" w:rsidRDefault="002D508C" w:rsidP="0094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19" w:rsidRDefault="00644F19" w:rsidP="00941066">
    <w:pPr>
      <w:pStyle w:val="Kopfzeile"/>
      <w:jc w:val="center"/>
    </w:pPr>
    <w:r>
      <w:rPr>
        <w:noProof/>
        <w:lang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-195139</wp:posOffset>
          </wp:positionV>
          <wp:extent cx="1533055" cy="596348"/>
          <wp:effectExtent l="19050" t="0" r="0" b="0"/>
          <wp:wrapNone/>
          <wp:docPr id="3" name="Bild 3" descr="\\BORCOFILER1\mac\BildBank\LOGOS\Canada Whisky Range\PIKE_CREEK\PikeCreek_Whisky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COFILER1\mac\BildBank\LOGOS\Canada Whisky Range\PIKE_CREEK\PikeCreek_Whisky_Logo_4c.jpg"/>
                  <pic:cNvPicPr>
                    <a:picLocks noChangeAspect="1" noChangeArrowheads="1"/>
                  </pic:cNvPicPr>
                </pic:nvPicPr>
                <pic:blipFill>
                  <a:blip r:embed="rId1"/>
                  <a:srcRect/>
                  <a:stretch>
                    <a:fillRect/>
                  </a:stretch>
                </pic:blipFill>
                <pic:spPr bwMode="auto">
                  <a:xfrm>
                    <a:off x="0" y="0"/>
                    <a:ext cx="1533055" cy="596348"/>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rsids>
    <w:rsidRoot w:val="00500B61"/>
    <w:rsid w:val="00073453"/>
    <w:rsid w:val="00075347"/>
    <w:rsid w:val="000773D3"/>
    <w:rsid w:val="00085583"/>
    <w:rsid w:val="000A3A7D"/>
    <w:rsid w:val="00135959"/>
    <w:rsid w:val="001514F0"/>
    <w:rsid w:val="00185295"/>
    <w:rsid w:val="001A6D79"/>
    <w:rsid w:val="001B4BAE"/>
    <w:rsid w:val="001C5A4F"/>
    <w:rsid w:val="00210F9A"/>
    <w:rsid w:val="00234125"/>
    <w:rsid w:val="00246B3D"/>
    <w:rsid w:val="00287AA5"/>
    <w:rsid w:val="002B3834"/>
    <w:rsid w:val="002B54C3"/>
    <w:rsid w:val="002D086D"/>
    <w:rsid w:val="002D508C"/>
    <w:rsid w:val="0033274D"/>
    <w:rsid w:val="0037180B"/>
    <w:rsid w:val="00371DE1"/>
    <w:rsid w:val="003C53F7"/>
    <w:rsid w:val="003D2442"/>
    <w:rsid w:val="003F37C6"/>
    <w:rsid w:val="004165EE"/>
    <w:rsid w:val="00417265"/>
    <w:rsid w:val="00441D3B"/>
    <w:rsid w:val="00452BAB"/>
    <w:rsid w:val="004A6562"/>
    <w:rsid w:val="004A6E73"/>
    <w:rsid w:val="004D39F3"/>
    <w:rsid w:val="00500B61"/>
    <w:rsid w:val="005200EC"/>
    <w:rsid w:val="005217AD"/>
    <w:rsid w:val="005B6ED3"/>
    <w:rsid w:val="00644F19"/>
    <w:rsid w:val="00680C87"/>
    <w:rsid w:val="006B468E"/>
    <w:rsid w:val="00741F7B"/>
    <w:rsid w:val="0075370E"/>
    <w:rsid w:val="00770541"/>
    <w:rsid w:val="007944BF"/>
    <w:rsid w:val="007B57AB"/>
    <w:rsid w:val="00882036"/>
    <w:rsid w:val="008A0E52"/>
    <w:rsid w:val="008A5C5D"/>
    <w:rsid w:val="008B4CA2"/>
    <w:rsid w:val="008D2CC4"/>
    <w:rsid w:val="00912042"/>
    <w:rsid w:val="00941066"/>
    <w:rsid w:val="00944A35"/>
    <w:rsid w:val="00957933"/>
    <w:rsid w:val="009709CB"/>
    <w:rsid w:val="0097796E"/>
    <w:rsid w:val="009D093C"/>
    <w:rsid w:val="009F0C07"/>
    <w:rsid w:val="009F4EC8"/>
    <w:rsid w:val="00A26663"/>
    <w:rsid w:val="00A312F5"/>
    <w:rsid w:val="00A60222"/>
    <w:rsid w:val="00A815D9"/>
    <w:rsid w:val="00A95AB0"/>
    <w:rsid w:val="00AA33FA"/>
    <w:rsid w:val="00AA70B0"/>
    <w:rsid w:val="00AC1661"/>
    <w:rsid w:val="00B45E10"/>
    <w:rsid w:val="00B535A3"/>
    <w:rsid w:val="00B63D0C"/>
    <w:rsid w:val="00C43EE0"/>
    <w:rsid w:val="00C519C3"/>
    <w:rsid w:val="00C80F7C"/>
    <w:rsid w:val="00C90BEE"/>
    <w:rsid w:val="00CA6206"/>
    <w:rsid w:val="00CB5186"/>
    <w:rsid w:val="00CF0861"/>
    <w:rsid w:val="00D364C3"/>
    <w:rsid w:val="00D57A32"/>
    <w:rsid w:val="00D712BC"/>
    <w:rsid w:val="00D77C1E"/>
    <w:rsid w:val="00DA6258"/>
    <w:rsid w:val="00DA63D0"/>
    <w:rsid w:val="00DC635B"/>
    <w:rsid w:val="00DE0D42"/>
    <w:rsid w:val="00E20260"/>
    <w:rsid w:val="00E2489F"/>
    <w:rsid w:val="00E25D03"/>
    <w:rsid w:val="00E40BA0"/>
    <w:rsid w:val="00E946C2"/>
    <w:rsid w:val="00EF3B46"/>
    <w:rsid w:val="00F01A87"/>
    <w:rsid w:val="00F30FEF"/>
    <w:rsid w:val="00F37CD4"/>
    <w:rsid w:val="00F578EC"/>
    <w:rsid w:val="00F66236"/>
    <w:rsid w:val="00F707B5"/>
    <w:rsid w:val="00FC5434"/>
    <w:rsid w:val="00FF228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1066"/>
    <w:pPr>
      <w:tabs>
        <w:tab w:val="center" w:pos="4536"/>
        <w:tab w:val="right" w:pos="9072"/>
      </w:tabs>
    </w:pPr>
  </w:style>
  <w:style w:type="character" w:customStyle="1" w:styleId="KopfzeileZchn">
    <w:name w:val="Kopfzeile Zchn"/>
    <w:basedOn w:val="Absatz-Standardschriftart"/>
    <w:link w:val="Kopfzeile"/>
    <w:uiPriority w:val="99"/>
    <w:rsid w:val="00941066"/>
    <w:rPr>
      <w:sz w:val="22"/>
      <w:szCs w:val="22"/>
      <w:lang w:eastAsia="en-US"/>
    </w:rPr>
  </w:style>
  <w:style w:type="paragraph" w:styleId="Fuzeile">
    <w:name w:val="footer"/>
    <w:basedOn w:val="Standard"/>
    <w:link w:val="FuzeileZchn"/>
    <w:uiPriority w:val="99"/>
    <w:semiHidden/>
    <w:unhideWhenUsed/>
    <w:rsid w:val="00941066"/>
    <w:pPr>
      <w:tabs>
        <w:tab w:val="center" w:pos="4536"/>
        <w:tab w:val="right" w:pos="9072"/>
      </w:tabs>
    </w:pPr>
  </w:style>
  <w:style w:type="character" w:customStyle="1" w:styleId="FuzeileZchn">
    <w:name w:val="Fußzeile Zchn"/>
    <w:basedOn w:val="Absatz-Standardschriftart"/>
    <w:link w:val="Fuzeile"/>
    <w:uiPriority w:val="99"/>
    <w:semiHidden/>
    <w:rsid w:val="00941066"/>
    <w:rPr>
      <w:sz w:val="22"/>
      <w:szCs w:val="22"/>
      <w:lang w:eastAsia="en-US"/>
    </w:rPr>
  </w:style>
  <w:style w:type="paragraph" w:styleId="Sprechblasentext">
    <w:name w:val="Balloon Text"/>
    <w:basedOn w:val="Standard"/>
    <w:link w:val="SprechblasentextZchn"/>
    <w:uiPriority w:val="99"/>
    <w:semiHidden/>
    <w:unhideWhenUsed/>
    <w:rsid w:val="009410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1066"/>
    <w:rPr>
      <w:rFonts w:ascii="Tahoma" w:hAnsi="Tahoma" w:cs="Tahoma"/>
      <w:sz w:val="16"/>
      <w:szCs w:val="16"/>
      <w:lang w:eastAsia="en-US"/>
    </w:rPr>
  </w:style>
  <w:style w:type="character" w:styleId="Hyperlink">
    <w:name w:val="Hyperlink"/>
    <w:basedOn w:val="Absatz-Standardschriftart"/>
    <w:uiPriority w:val="99"/>
    <w:unhideWhenUsed/>
    <w:rsid w:val="0075370E"/>
    <w:rPr>
      <w:color w:val="0000FF"/>
      <w:u w:val="single"/>
    </w:rPr>
  </w:style>
  <w:style w:type="paragraph" w:customStyle="1" w:styleId="a-spacing-base">
    <w:name w:val="a-spacing-base"/>
    <w:basedOn w:val="Standard"/>
    <w:rsid w:val="00644F19"/>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935888">
      <w:bodyDiv w:val="1"/>
      <w:marLeft w:val="0"/>
      <w:marRight w:val="0"/>
      <w:marTop w:val="0"/>
      <w:marBottom w:val="0"/>
      <w:divBdr>
        <w:top w:val="none" w:sz="0" w:space="0" w:color="auto"/>
        <w:left w:val="none" w:sz="0" w:space="0" w:color="auto"/>
        <w:bottom w:val="none" w:sz="0" w:space="0" w:color="auto"/>
        <w:right w:val="none" w:sz="0" w:space="0" w:color="auto"/>
      </w:divBdr>
      <w:divsChild>
        <w:div w:id="1674406912">
          <w:marLeft w:val="0"/>
          <w:marRight w:val="0"/>
          <w:marTop w:val="0"/>
          <w:marBottom w:val="0"/>
          <w:divBdr>
            <w:top w:val="none" w:sz="0" w:space="0" w:color="auto"/>
            <w:left w:val="none" w:sz="0" w:space="0" w:color="auto"/>
            <w:bottom w:val="none" w:sz="0" w:space="0" w:color="auto"/>
            <w:right w:val="none" w:sz="0" w:space="0" w:color="auto"/>
          </w:divBdr>
          <w:divsChild>
            <w:div w:id="407920559">
              <w:marLeft w:val="0"/>
              <w:marRight w:val="0"/>
              <w:marTop w:val="0"/>
              <w:marBottom w:val="0"/>
              <w:divBdr>
                <w:top w:val="none" w:sz="0" w:space="0" w:color="auto"/>
                <w:left w:val="none" w:sz="0" w:space="0" w:color="auto"/>
                <w:bottom w:val="none" w:sz="0" w:space="0" w:color="auto"/>
                <w:right w:val="none" w:sz="0" w:space="0" w:color="auto"/>
              </w:divBdr>
              <w:divsChild>
                <w:div w:id="336155357">
                  <w:marLeft w:val="0"/>
                  <w:marRight w:val="0"/>
                  <w:marTop w:val="0"/>
                  <w:marBottom w:val="0"/>
                  <w:divBdr>
                    <w:top w:val="none" w:sz="0" w:space="0" w:color="auto"/>
                    <w:left w:val="none" w:sz="0" w:space="0" w:color="auto"/>
                    <w:bottom w:val="none" w:sz="0" w:space="0" w:color="auto"/>
                    <w:right w:val="none" w:sz="0" w:space="0" w:color="auto"/>
                  </w:divBdr>
                  <w:divsChild>
                    <w:div w:id="1277058442">
                      <w:marLeft w:val="0"/>
                      <w:marRight w:val="0"/>
                      <w:marTop w:val="0"/>
                      <w:marBottom w:val="0"/>
                      <w:divBdr>
                        <w:top w:val="none" w:sz="0" w:space="0" w:color="auto"/>
                        <w:left w:val="none" w:sz="0" w:space="0" w:color="auto"/>
                        <w:bottom w:val="none" w:sz="0" w:space="0" w:color="auto"/>
                        <w:right w:val="none" w:sz="0" w:space="0" w:color="auto"/>
                      </w:divBdr>
                      <w:divsChild>
                        <w:div w:id="2005744736">
                          <w:marLeft w:val="0"/>
                          <w:marRight w:val="0"/>
                          <w:marTop w:val="0"/>
                          <w:marBottom w:val="0"/>
                          <w:divBdr>
                            <w:top w:val="none" w:sz="0" w:space="0" w:color="auto"/>
                            <w:left w:val="none" w:sz="0" w:space="0" w:color="auto"/>
                            <w:bottom w:val="none" w:sz="0" w:space="0" w:color="auto"/>
                            <w:right w:val="none" w:sz="0" w:space="0" w:color="auto"/>
                          </w:divBdr>
                          <w:divsChild>
                            <w:div w:id="1909535447">
                              <w:marLeft w:val="0"/>
                              <w:marRight w:val="0"/>
                              <w:marTop w:val="0"/>
                              <w:marBottom w:val="0"/>
                              <w:divBdr>
                                <w:top w:val="none" w:sz="0" w:space="0" w:color="auto"/>
                                <w:left w:val="none" w:sz="0" w:space="0" w:color="auto"/>
                                <w:bottom w:val="none" w:sz="0" w:space="0" w:color="auto"/>
                                <w:right w:val="none" w:sz="0" w:space="0" w:color="auto"/>
                              </w:divBdr>
                              <w:divsChild>
                                <w:div w:id="427696330">
                                  <w:marLeft w:val="0"/>
                                  <w:marRight w:val="0"/>
                                  <w:marTop w:val="0"/>
                                  <w:marBottom w:val="0"/>
                                  <w:divBdr>
                                    <w:top w:val="none" w:sz="0" w:space="0" w:color="auto"/>
                                    <w:left w:val="none" w:sz="0" w:space="0" w:color="auto"/>
                                    <w:bottom w:val="none" w:sz="0" w:space="0" w:color="auto"/>
                                    <w:right w:val="none" w:sz="0" w:space="0" w:color="auto"/>
                                  </w:divBdr>
                                  <w:divsChild>
                                    <w:div w:id="1342272681">
                                      <w:marLeft w:val="0"/>
                                      <w:marRight w:val="0"/>
                                      <w:marTop w:val="0"/>
                                      <w:marBottom w:val="0"/>
                                      <w:divBdr>
                                        <w:top w:val="none" w:sz="0" w:space="0" w:color="auto"/>
                                        <w:left w:val="none" w:sz="0" w:space="0" w:color="auto"/>
                                        <w:bottom w:val="none" w:sz="0" w:space="0" w:color="auto"/>
                                        <w:right w:val="none" w:sz="0" w:space="0" w:color="auto"/>
                                      </w:divBdr>
                                      <w:divsChild>
                                        <w:div w:id="1207567826">
                                          <w:marLeft w:val="0"/>
                                          <w:marRight w:val="0"/>
                                          <w:marTop w:val="0"/>
                                          <w:marBottom w:val="0"/>
                                          <w:divBdr>
                                            <w:top w:val="none" w:sz="0" w:space="0" w:color="auto"/>
                                            <w:left w:val="none" w:sz="0" w:space="0" w:color="auto"/>
                                            <w:bottom w:val="none" w:sz="0" w:space="0" w:color="auto"/>
                                            <w:right w:val="none" w:sz="0" w:space="0" w:color="auto"/>
                                          </w:divBdr>
                                          <w:divsChild>
                                            <w:div w:id="803307320">
                                              <w:marLeft w:val="0"/>
                                              <w:marRight w:val="0"/>
                                              <w:marTop w:val="0"/>
                                              <w:marBottom w:val="0"/>
                                              <w:divBdr>
                                                <w:top w:val="none" w:sz="0" w:space="0" w:color="auto"/>
                                                <w:left w:val="none" w:sz="0" w:space="0" w:color="auto"/>
                                                <w:bottom w:val="none" w:sz="0" w:space="0" w:color="auto"/>
                                                <w:right w:val="none" w:sz="0" w:space="0" w:color="auto"/>
                                              </w:divBdr>
                                              <w:divsChild>
                                                <w:div w:id="243151023">
                                                  <w:marLeft w:val="0"/>
                                                  <w:marRight w:val="0"/>
                                                  <w:marTop w:val="0"/>
                                                  <w:marBottom w:val="0"/>
                                                  <w:divBdr>
                                                    <w:top w:val="none" w:sz="0" w:space="0" w:color="auto"/>
                                                    <w:left w:val="none" w:sz="0" w:space="0" w:color="auto"/>
                                                    <w:bottom w:val="none" w:sz="0" w:space="0" w:color="auto"/>
                                                    <w:right w:val="none" w:sz="0" w:space="0" w:color="auto"/>
                                                  </w:divBdr>
                                                  <w:divsChild>
                                                    <w:div w:id="1650213366">
                                                      <w:marLeft w:val="0"/>
                                                      <w:marRight w:val="0"/>
                                                      <w:marTop w:val="0"/>
                                                      <w:marBottom w:val="0"/>
                                                      <w:divBdr>
                                                        <w:top w:val="none" w:sz="0" w:space="0" w:color="auto"/>
                                                        <w:left w:val="none" w:sz="0" w:space="0" w:color="auto"/>
                                                        <w:bottom w:val="none" w:sz="0" w:space="0" w:color="auto"/>
                                                        <w:right w:val="none" w:sz="0" w:space="0" w:color="auto"/>
                                                      </w:divBdr>
                                                      <w:divsChild>
                                                        <w:div w:id="18498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orc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EA0E1-E22A-4EDB-809C-C1A5C3809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413</Words>
  <Characters>2606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3013</CharactersWithSpaces>
  <SharedDoc>false</SharedDoc>
  <HLinks>
    <vt:vector size="6" baseType="variant">
      <vt:variant>
        <vt:i4>5898269</vt:i4>
      </vt:variant>
      <vt:variant>
        <vt:i4>0</vt:i4>
      </vt:variant>
      <vt:variant>
        <vt:i4>0</vt:i4>
      </vt:variant>
      <vt:variant>
        <vt:i4>5</vt:i4>
      </vt:variant>
      <vt:variant>
        <vt:lpwstr>http://www.borco.com/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2</cp:revision>
  <cp:lastPrinted>2017-07-10T14:40:00Z</cp:lastPrinted>
  <dcterms:created xsi:type="dcterms:W3CDTF">2019-12-05T08:03:00Z</dcterms:created>
  <dcterms:modified xsi:type="dcterms:W3CDTF">2019-12-05T08:03:00Z</dcterms:modified>
</cp:coreProperties>
</file>